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湖北省广告监测中心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hr-HR" w:eastAsia="zh-CN"/>
              </w:rPr>
              <w:t>互联网及户外广告日常监测数据服务项目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SZZC-2024-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414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2645D52"/>
    <w:rsid w:val="13DE6EDD"/>
    <w:rsid w:val="15C44B15"/>
    <w:rsid w:val="15FE3041"/>
    <w:rsid w:val="1BB06703"/>
    <w:rsid w:val="1CD03BE4"/>
    <w:rsid w:val="1E9A712D"/>
    <w:rsid w:val="1EA96C5F"/>
    <w:rsid w:val="20D03FE7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9161E49"/>
    <w:rsid w:val="4B3C45BE"/>
    <w:rsid w:val="4CC309C8"/>
    <w:rsid w:val="51414BAF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190</Characters>
  <Lines>2</Lines>
  <Paragraphs>1</Paragraphs>
  <TotalTime>0</TotalTime>
  <ScaleCrop>false</ScaleCrop>
  <LinksUpToDate>false</LinksUpToDate>
  <CharactersWithSpaces>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2024-08-20T12:52:00Z</cp:lastPrinted>
  <dcterms:modified xsi:type="dcterms:W3CDTF">2024-09-14T11:26:26Z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6ADB28A7EC8B4D0BAA9146C659B13F93_13</vt:lpwstr>
  </property>
</Properties>
</file>